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9A45" w14:textId="5EBC315F" w:rsidR="00E54E53" w:rsidRDefault="006D643E" w:rsidP="00E54E53">
      <w:pPr>
        <w:tabs>
          <w:tab w:val="left" w:pos="8070"/>
        </w:tabs>
      </w:pPr>
      <w:r>
        <w:rPr>
          <w:noProof/>
        </w:rPr>
        <w:drawing>
          <wp:anchor distT="0" distB="0" distL="114300" distR="114300" simplePos="0" relativeHeight="251658240" behindDoc="0" locked="0" layoutInCell="1" allowOverlap="1" wp14:anchorId="1D523774" wp14:editId="257496C8">
            <wp:simplePos x="0" y="0"/>
            <wp:positionH relativeFrom="column">
              <wp:posOffset>4781550</wp:posOffset>
            </wp:positionH>
            <wp:positionV relativeFrom="paragraph">
              <wp:posOffset>-476250</wp:posOffset>
            </wp:positionV>
            <wp:extent cx="951230" cy="7251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725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7F944F0C" wp14:editId="4E475D49">
            <wp:simplePos x="0" y="0"/>
            <wp:positionH relativeFrom="column">
              <wp:posOffset>2390775</wp:posOffset>
            </wp:positionH>
            <wp:positionV relativeFrom="paragraph">
              <wp:posOffset>-485775</wp:posOffset>
            </wp:positionV>
            <wp:extent cx="952500" cy="692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692785"/>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1B7D7D52" wp14:editId="7F370855">
            <wp:simplePos x="0" y="0"/>
            <wp:positionH relativeFrom="column">
              <wp:posOffset>0</wp:posOffset>
            </wp:positionH>
            <wp:positionV relativeFrom="paragraph">
              <wp:posOffset>-504825</wp:posOffset>
            </wp:positionV>
            <wp:extent cx="1247775" cy="685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Better Opportunities EU logo.jpg"/>
                    <pic:cNvPicPr/>
                  </pic:nvPicPr>
                  <pic:blipFill>
                    <a:blip r:embed="rId8">
                      <a:extLst>
                        <a:ext uri="{28A0092B-C50C-407E-A947-70E740481C1C}">
                          <a14:useLocalDpi xmlns:a14="http://schemas.microsoft.com/office/drawing/2010/main" val="0"/>
                        </a:ext>
                      </a:extLst>
                    </a:blip>
                    <a:stretch>
                      <a:fillRect/>
                    </a:stretch>
                  </pic:blipFill>
                  <pic:spPr>
                    <a:xfrm>
                      <a:off x="0" y="0"/>
                      <a:ext cx="1247775" cy="685800"/>
                    </a:xfrm>
                    <a:prstGeom prst="rect">
                      <a:avLst/>
                    </a:prstGeom>
                  </pic:spPr>
                </pic:pic>
              </a:graphicData>
            </a:graphic>
            <wp14:sizeRelH relativeFrom="page">
              <wp14:pctWidth>0</wp14:pctWidth>
            </wp14:sizeRelH>
            <wp14:sizeRelV relativeFrom="page">
              <wp14:pctHeight>0</wp14:pctHeight>
            </wp14:sizeRelV>
          </wp:anchor>
        </w:drawing>
      </w:r>
      <w:r w:rsidR="00E54E53">
        <w:tab/>
      </w:r>
    </w:p>
    <w:p w14:paraId="25B285D4" w14:textId="404F1D9A" w:rsidR="000A5211" w:rsidRDefault="00E54E53" w:rsidP="00E54E53">
      <w:bookmarkStart w:id="0" w:name="_GoBack"/>
      <w:bookmarkEnd w:id="0"/>
      <w:r>
        <w:br w:type="textWrapping" w:clear="all"/>
      </w:r>
    </w:p>
    <w:p w14:paraId="379E4539" w14:textId="77777777" w:rsidR="000A5211" w:rsidRDefault="000A5211" w:rsidP="000A5211">
      <w:pPr>
        <w:contextualSpacing/>
        <w:jc w:val="center"/>
        <w:rPr>
          <w:rFonts w:ascii="Arial" w:hAnsi="Arial" w:cs="Arial"/>
          <w:sz w:val="20"/>
          <w:szCs w:val="20"/>
          <w:shd w:val="clear" w:color="auto" w:fill="FFFFFF"/>
        </w:rPr>
      </w:pPr>
      <w:r w:rsidRPr="000A5211">
        <w:rPr>
          <w:rFonts w:ascii="Arial" w:hAnsi="Arial" w:cs="Arial"/>
          <w:sz w:val="20"/>
          <w:szCs w:val="20"/>
        </w:rPr>
        <w:t xml:space="preserve">Policy and Procedures for </w:t>
      </w:r>
      <w:r w:rsidR="00F77508">
        <w:t xml:space="preserve">ALS </w:t>
      </w:r>
      <w:r w:rsidR="00F77508" w:rsidRPr="000A5211">
        <w:rPr>
          <w:rStyle w:val="apple-converted-space"/>
          <w:rFonts w:ascii="Arial" w:hAnsi="Arial" w:cs="Arial"/>
          <w:sz w:val="20"/>
          <w:szCs w:val="20"/>
          <w:shd w:val="clear" w:color="auto" w:fill="FFFFFF"/>
        </w:rPr>
        <w:t>(Additional</w:t>
      </w:r>
      <w:r w:rsidR="00F77508">
        <w:t xml:space="preserve"> </w:t>
      </w:r>
      <w:r w:rsidR="00F77508">
        <w:rPr>
          <w:rFonts w:ascii="Arial" w:hAnsi="Arial" w:cs="Arial"/>
          <w:sz w:val="20"/>
          <w:szCs w:val="20"/>
        </w:rPr>
        <w:t xml:space="preserve">Learner Support, </w:t>
      </w:r>
      <w:r w:rsidRPr="000A5211">
        <w:rPr>
          <w:rFonts w:ascii="Arial" w:hAnsi="Arial" w:cs="Arial"/>
          <w:sz w:val="20"/>
          <w:szCs w:val="20"/>
        </w:rPr>
        <w:t xml:space="preserve">ALN </w:t>
      </w:r>
      <w:r w:rsidRPr="000A5211">
        <w:rPr>
          <w:rStyle w:val="apple-converted-space"/>
          <w:rFonts w:ascii="Arial" w:hAnsi="Arial" w:cs="Arial"/>
          <w:sz w:val="20"/>
          <w:szCs w:val="20"/>
          <w:shd w:val="clear" w:color="auto" w:fill="FFFFFF"/>
        </w:rPr>
        <w:t xml:space="preserve">(Additional </w:t>
      </w:r>
      <w:r w:rsidRPr="000A5211">
        <w:rPr>
          <w:rFonts w:ascii="Arial" w:hAnsi="Arial" w:cs="Arial"/>
          <w:sz w:val="20"/>
          <w:szCs w:val="20"/>
          <w:shd w:val="clear" w:color="auto" w:fill="FFFFFF"/>
        </w:rPr>
        <w:t>Learning Needs)</w:t>
      </w:r>
    </w:p>
    <w:p w14:paraId="4DD274CC" w14:textId="77777777" w:rsidR="000A5211" w:rsidRDefault="000A5211" w:rsidP="000A5211">
      <w:pPr>
        <w:contextualSpacing/>
        <w:jc w:val="center"/>
        <w:rPr>
          <w:rFonts w:ascii="Arial" w:hAnsi="Arial" w:cs="Arial"/>
          <w:sz w:val="20"/>
          <w:szCs w:val="20"/>
          <w:shd w:val="clear" w:color="auto" w:fill="FFFFFF"/>
        </w:rPr>
      </w:pPr>
      <w:r>
        <w:rPr>
          <w:rFonts w:ascii="Arial" w:hAnsi="Arial" w:cs="Arial"/>
          <w:sz w:val="20"/>
          <w:szCs w:val="20"/>
          <w:shd w:val="clear" w:color="auto" w:fill="FFFFFF"/>
        </w:rPr>
        <w:t>&amp;</w:t>
      </w:r>
      <w:r w:rsidRPr="000A5211">
        <w:rPr>
          <w:rFonts w:ascii="Arial" w:hAnsi="Arial" w:cs="Arial"/>
          <w:sz w:val="20"/>
          <w:szCs w:val="20"/>
          <w:shd w:val="clear" w:color="auto" w:fill="FFFFFF"/>
        </w:rPr>
        <w:t xml:space="preserve"> </w:t>
      </w:r>
      <w:r w:rsidRPr="000A5211">
        <w:rPr>
          <w:rStyle w:val="Emphasis"/>
          <w:rFonts w:ascii="Arial" w:hAnsi="Arial" w:cs="Arial"/>
          <w:bCs/>
          <w:i w:val="0"/>
          <w:iCs w:val="0"/>
          <w:sz w:val="20"/>
          <w:szCs w:val="20"/>
          <w:shd w:val="clear" w:color="auto" w:fill="FFFFFF"/>
        </w:rPr>
        <w:t>ASN</w:t>
      </w:r>
      <w:r w:rsidRPr="000A5211">
        <w:rPr>
          <w:rStyle w:val="Emphasis"/>
          <w:rFonts w:ascii="Arial" w:hAnsi="Arial" w:cs="Arial"/>
          <w:b/>
          <w:bCs/>
          <w:i w:val="0"/>
          <w:iCs w:val="0"/>
          <w:sz w:val="20"/>
          <w:szCs w:val="20"/>
          <w:shd w:val="clear" w:color="auto" w:fill="FFFFFF"/>
        </w:rPr>
        <w:t xml:space="preserve"> </w:t>
      </w:r>
      <w:r w:rsidRPr="000A5211">
        <w:rPr>
          <w:rFonts w:ascii="Arial" w:hAnsi="Arial" w:cs="Arial"/>
          <w:sz w:val="20"/>
          <w:szCs w:val="20"/>
          <w:shd w:val="clear" w:color="auto" w:fill="FFFFFF"/>
        </w:rPr>
        <w:t>(Additional Social Needs)</w:t>
      </w:r>
    </w:p>
    <w:p w14:paraId="1DD78ED4" w14:textId="77777777" w:rsidR="00D36815" w:rsidRDefault="00D36815" w:rsidP="000A5211">
      <w:pPr>
        <w:contextualSpacing/>
        <w:jc w:val="center"/>
        <w:rPr>
          <w:rFonts w:ascii="Arial" w:hAnsi="Arial" w:cs="Arial"/>
          <w:sz w:val="20"/>
          <w:szCs w:val="20"/>
          <w:shd w:val="clear" w:color="auto" w:fill="FFFFFF"/>
        </w:rPr>
      </w:pPr>
    </w:p>
    <w:p w14:paraId="718F10E3" w14:textId="77777777" w:rsidR="00D36815" w:rsidRDefault="00D36815" w:rsidP="00D36815">
      <w:pPr>
        <w:contextualSpacing/>
        <w:jc w:val="center"/>
        <w:rPr>
          <w:rFonts w:ascii="Arial" w:hAnsi="Arial" w:cs="Arial"/>
          <w:sz w:val="20"/>
          <w:szCs w:val="20"/>
          <w:shd w:val="clear" w:color="auto" w:fill="FFFFFF"/>
        </w:rPr>
      </w:pPr>
      <w:r>
        <w:rPr>
          <w:rFonts w:ascii="Arial" w:hAnsi="Arial" w:cs="Arial"/>
          <w:sz w:val="20"/>
          <w:szCs w:val="20"/>
          <w:shd w:val="clear" w:color="auto" w:fill="FFFFFF"/>
        </w:rPr>
        <w:t>Introduction</w:t>
      </w:r>
    </w:p>
    <w:p w14:paraId="1887C54F" w14:textId="77777777" w:rsidR="000A5211" w:rsidRPr="000A5211" w:rsidRDefault="000A5211" w:rsidP="000A5211">
      <w:pPr>
        <w:contextualSpacing/>
        <w:jc w:val="center"/>
        <w:rPr>
          <w:rFonts w:ascii="Arial" w:hAnsi="Arial" w:cs="Arial"/>
          <w:sz w:val="20"/>
          <w:szCs w:val="20"/>
        </w:rPr>
      </w:pPr>
    </w:p>
    <w:p w14:paraId="2BA93075" w14:textId="77777777" w:rsidR="00914671" w:rsidRDefault="00914671">
      <w:r>
        <w:t xml:space="preserve">Skills funding agency </w:t>
      </w:r>
      <w:r w:rsidR="000A5211">
        <w:t>provides colleges, local authorities, training organisations and voluntary organisations (providers) with further detailed information on the arrangements for Learning Support, as part of</w:t>
      </w:r>
      <w:r>
        <w:t xml:space="preserve"> the Adult Skills Budget (ASB)</w:t>
      </w:r>
    </w:p>
    <w:p w14:paraId="14B4BA4B" w14:textId="77777777" w:rsidR="00914671" w:rsidRDefault="000A5211">
      <w:r>
        <w:t>I</w:t>
      </w:r>
      <w:r w:rsidR="00914671">
        <w:t xml:space="preserve">t provides information on: </w:t>
      </w:r>
    </w:p>
    <w:p w14:paraId="745B9527" w14:textId="77777777" w:rsidR="00914671" w:rsidRDefault="00914671">
      <w:pPr>
        <w:contextualSpacing/>
      </w:pPr>
      <w:r>
        <w:t>T</w:t>
      </w:r>
      <w:r w:rsidR="000A5211">
        <w:t>he scope of the fund and how it works, including allocations, claiming, performance revie</w:t>
      </w:r>
      <w:r>
        <w:t>ws and assurance requirements</w:t>
      </w:r>
    </w:p>
    <w:p w14:paraId="7875E510" w14:textId="77777777" w:rsidR="00914671" w:rsidRDefault="00914671">
      <w:pPr>
        <w:contextualSpacing/>
      </w:pPr>
      <w:r>
        <w:t>H</w:t>
      </w:r>
      <w:r w:rsidR="000A5211">
        <w:t>ow Exceptional Learning Support embraces all eligible learners requiring in excess of £19,000 suppor</w:t>
      </w:r>
      <w:r>
        <w:t xml:space="preserve">t funding </w:t>
      </w:r>
    </w:p>
    <w:p w14:paraId="5DE1863B" w14:textId="77777777" w:rsidR="00F77508" w:rsidRDefault="00914671">
      <w:pPr>
        <w:contextualSpacing/>
      </w:pPr>
      <w:r>
        <w:t xml:space="preserve">The ‘Funding Rules </w:t>
      </w:r>
      <w:r w:rsidR="000A5211">
        <w:t xml:space="preserve">sets out the arrangements for Learning Support. </w:t>
      </w:r>
    </w:p>
    <w:p w14:paraId="2FE7632C" w14:textId="77777777" w:rsidR="00F77508" w:rsidRDefault="000A5211">
      <w:pPr>
        <w:contextualSpacing/>
      </w:pPr>
      <w:r>
        <w:t>This fund now forms an integral part o</w:t>
      </w:r>
      <w:r w:rsidR="00F77508">
        <w:t>f a provider’s ASB,</w:t>
      </w:r>
      <w:r>
        <w:t xml:space="preserve"> </w:t>
      </w:r>
      <w:r w:rsidR="00F77508">
        <w:t>they</w:t>
      </w:r>
      <w:r>
        <w:t xml:space="preserve"> bring together and simplify the different approaches and systems used for classroom,</w:t>
      </w:r>
      <w:r w:rsidR="00F77508">
        <w:t xml:space="preserve"> workplace and Apprenticeships.</w:t>
      </w:r>
    </w:p>
    <w:p w14:paraId="5AD44B60" w14:textId="77777777" w:rsidR="00F77508" w:rsidRDefault="00F77508">
      <w:pPr>
        <w:contextualSpacing/>
      </w:pPr>
      <w:r>
        <w:t>Reduce bureaucracy.</w:t>
      </w:r>
    </w:p>
    <w:p w14:paraId="1D5C8B27" w14:textId="77777777" w:rsidR="00F77508" w:rsidRDefault="00F77508">
      <w:pPr>
        <w:contextualSpacing/>
      </w:pPr>
      <w:r>
        <w:t xml:space="preserve">Simplify learner eligibility. </w:t>
      </w:r>
    </w:p>
    <w:p w14:paraId="02531284" w14:textId="77777777" w:rsidR="00F77508" w:rsidRDefault="00F77508">
      <w:pPr>
        <w:contextualSpacing/>
      </w:pPr>
      <w:r>
        <w:t>P</w:t>
      </w:r>
      <w:r w:rsidR="000A5211">
        <w:t xml:space="preserve">rovide </w:t>
      </w:r>
      <w:r>
        <w:t xml:space="preserve">clear and simple funding rules. </w:t>
      </w:r>
    </w:p>
    <w:p w14:paraId="47FA0009" w14:textId="77777777" w:rsidR="00F77508" w:rsidRDefault="00F77508">
      <w:pPr>
        <w:contextualSpacing/>
      </w:pPr>
      <w:r>
        <w:t>P</w:t>
      </w:r>
      <w:r w:rsidR="000A5211">
        <w:t xml:space="preserve">rovide </w:t>
      </w:r>
      <w:r>
        <w:t>consistent assurance of funds.</w:t>
      </w:r>
      <w:r w:rsidR="000A5211">
        <w:t xml:space="preserve"> </w:t>
      </w:r>
    </w:p>
    <w:p w14:paraId="5CE027F2" w14:textId="77777777" w:rsidR="00F77508" w:rsidRDefault="000A5211">
      <w:r>
        <w:t>The National Audit Office (NAO) also highlighted the need to introduce additional assurance for Learning Support. The new arrangements provide a balance between simplification, practicality and the need to meet the NAO’s request.</w:t>
      </w:r>
    </w:p>
    <w:p w14:paraId="1E69551E" w14:textId="77777777" w:rsidR="00F77508" w:rsidRDefault="000A5211">
      <w:pPr>
        <w:contextualSpacing/>
      </w:pPr>
      <w:r>
        <w:t>Additional Learning Support (ALS), Additional Learning Needs (ALN) and</w:t>
      </w:r>
      <w:r w:rsidR="00F77508">
        <w:t xml:space="preserve"> Additional Social Needs (ASN) s</w:t>
      </w:r>
      <w:r>
        <w:t xml:space="preserve">upport is part of the ASB for all providers. </w:t>
      </w:r>
    </w:p>
    <w:p w14:paraId="49F33072" w14:textId="77777777" w:rsidR="00641B0A" w:rsidRDefault="00D36815">
      <w:pPr>
        <w:contextualSpacing/>
      </w:pPr>
      <w:r>
        <w:t xml:space="preserve">And </w:t>
      </w:r>
      <w:r w:rsidR="000A5211">
        <w:t>introduce a new, wide-ranging definition that replaces the criteria list previously used to ensure a learner was</w:t>
      </w:r>
      <w:r>
        <w:t xml:space="preserve"> eligible for support funding </w:t>
      </w:r>
      <w:r w:rsidR="000A5211">
        <w:t xml:space="preserve">cover the ongoing costs for providing ‘in learning’ support to all eligible adult learners with an identified learning difficulty and/or disability (LDD), including those on an </w:t>
      </w:r>
      <w:r>
        <w:t xml:space="preserve">Apprenticeship or Traineeship </w:t>
      </w:r>
      <w:r w:rsidR="000A5211">
        <w:t>are available to all providers with an ASB, to help any eligible learner who has an identified support need t</w:t>
      </w:r>
      <w:r w:rsidR="00641B0A">
        <w:t>o achieve their learning goals</w:t>
      </w:r>
      <w:r>
        <w:t>.</w:t>
      </w:r>
      <w:r w:rsidR="00641B0A">
        <w:t xml:space="preserve"> </w:t>
      </w:r>
    </w:p>
    <w:p w14:paraId="1196695F" w14:textId="77777777" w:rsidR="00641B0A" w:rsidRDefault="00D36815">
      <w:pPr>
        <w:contextualSpacing/>
      </w:pPr>
      <w:r>
        <w:t>It</w:t>
      </w:r>
      <w:r w:rsidR="000A5211">
        <w:t xml:space="preserve"> introduce</w:t>
      </w:r>
      <w:r>
        <w:t>s</w:t>
      </w:r>
      <w:r w:rsidR="000A5211">
        <w:t xml:space="preserve"> a single approach across all providers for claiming support costs by i</w:t>
      </w:r>
      <w:r w:rsidR="00641B0A">
        <w:t xml:space="preserve">ntroducing a monthly fixed rate of £150 </w:t>
      </w:r>
    </w:p>
    <w:p w14:paraId="525520D3" w14:textId="77777777" w:rsidR="00641B0A" w:rsidRDefault="00D36815">
      <w:pPr>
        <w:contextualSpacing/>
      </w:pPr>
      <w:r>
        <w:t xml:space="preserve">And </w:t>
      </w:r>
      <w:r w:rsidR="000A5211">
        <w:t>continue</w:t>
      </w:r>
      <w:r>
        <w:t>s</w:t>
      </w:r>
      <w:r w:rsidR="000A5211">
        <w:t xml:space="preserve"> to provide funding for providers to meet the costs of reasonable adjustments, as set</w:t>
      </w:r>
      <w:r w:rsidR="00641B0A">
        <w:t xml:space="preserve"> out in the Equality Act 2010</w:t>
      </w:r>
    </w:p>
    <w:p w14:paraId="26D92B26" w14:textId="77777777" w:rsidR="00641B0A" w:rsidRDefault="000A5211">
      <w:pPr>
        <w:contextualSpacing/>
      </w:pPr>
      <w:r>
        <w:t xml:space="preserve"> In summary, learning support is available to all providers, with an ASB, to help any eligible learner who has an identified learning difficulty or disability, or both, to achieve their learning goals, regardless of the learner’s background and relative disadvantage. </w:t>
      </w:r>
    </w:p>
    <w:p w14:paraId="74592B3E" w14:textId="77777777" w:rsidR="00D36815" w:rsidRDefault="00D36815">
      <w:pPr>
        <w:contextualSpacing/>
      </w:pPr>
    </w:p>
    <w:p w14:paraId="1BDCCC95" w14:textId="77777777" w:rsidR="00D36815" w:rsidRDefault="000A5211">
      <w:r>
        <w:lastRenderedPageBreak/>
        <w:t xml:space="preserve">Learning Support enables providers to work flexibly and provide support activity to meet the learning needs of their individual learners. This allows these learners to achieve their learning goal and maximise their potential. </w:t>
      </w:r>
    </w:p>
    <w:p w14:paraId="00A128B4" w14:textId="77777777" w:rsidR="00D36815" w:rsidRDefault="00D36815">
      <w:r>
        <w:t xml:space="preserve">Policy </w:t>
      </w:r>
    </w:p>
    <w:p w14:paraId="41A33A30" w14:textId="77777777" w:rsidR="00D36815" w:rsidRDefault="000A5211">
      <w:r>
        <w:t xml:space="preserve">Learning Support provides funding for </w:t>
      </w:r>
      <w:r w:rsidR="00D36815">
        <w:t>Oxford Energy Academy to</w:t>
      </w:r>
      <w:r>
        <w:t xml:space="preserve"> meet the costs of reasonable adjustments as set ou</w:t>
      </w:r>
      <w:r w:rsidR="00D36815">
        <w:t>t in the Equality Act 2010.</w:t>
      </w:r>
    </w:p>
    <w:p w14:paraId="2DFC1124" w14:textId="77777777" w:rsidR="00D36815" w:rsidRDefault="00D36815">
      <w:r>
        <w:t>T</w:t>
      </w:r>
      <w:r w:rsidR="000A5211">
        <w:t xml:space="preserve">he simpler approach for Learning Support, </w:t>
      </w:r>
      <w:r>
        <w:t>has</w:t>
      </w:r>
      <w:r w:rsidR="000A5211">
        <w:t xml:space="preserve"> removed the criteria list and associated evidence requirements,</w:t>
      </w:r>
      <w:r>
        <w:t xml:space="preserve"> simplified </w:t>
      </w:r>
      <w:r w:rsidR="000A5211">
        <w:t>Funding Rules, whilst ensuri</w:t>
      </w:r>
      <w:r>
        <w:t>ng protection of public funds.</w:t>
      </w:r>
    </w:p>
    <w:p w14:paraId="3A2A5EE1" w14:textId="77777777" w:rsidR="004B4204" w:rsidRDefault="000A5211">
      <w:r>
        <w:t xml:space="preserve">To access support </w:t>
      </w:r>
      <w:r w:rsidR="004B4204">
        <w:t>Oxford Energy Academy:</w:t>
      </w:r>
    </w:p>
    <w:p w14:paraId="0686BE8D" w14:textId="77777777" w:rsidR="004B4204" w:rsidRDefault="004B4204">
      <w:proofErr w:type="gramStart"/>
      <w:r>
        <w:t xml:space="preserve">Must </w:t>
      </w:r>
      <w:r w:rsidR="000A5211">
        <w:t xml:space="preserve"> identify</w:t>
      </w:r>
      <w:proofErr w:type="gramEnd"/>
      <w:r w:rsidR="000A5211">
        <w:t xml:space="preserve"> on the Individualised Learner Record (ILR) where a learner has a learning need associated w</w:t>
      </w:r>
      <w:r>
        <w:t>ith an identified learning aim,</w:t>
      </w:r>
      <w:r w:rsidR="000A5211">
        <w:t xml:space="preserve"> in exceptional circumstances, for learners with support needs costing in excess of the monthly fixed rate</w:t>
      </w:r>
      <w:r>
        <w:t xml:space="preserve"> (£150)</w:t>
      </w:r>
      <w:r w:rsidR="000A5211">
        <w:t xml:space="preserve">, </w:t>
      </w:r>
      <w:r>
        <w:t xml:space="preserve">Oxford Energy Academy can </w:t>
      </w:r>
      <w:r w:rsidR="000A5211">
        <w:t>claim for excess Learning Support costs through the EAS, support</w:t>
      </w:r>
      <w:r>
        <w:t>ed by the appropriate evidence.</w:t>
      </w:r>
    </w:p>
    <w:p w14:paraId="7A48CE68" w14:textId="77777777" w:rsidR="004B4204" w:rsidRDefault="004B4204">
      <w:r>
        <w:t>Oxford Energy Academy</w:t>
      </w:r>
      <w:r w:rsidR="000A5211">
        <w:t xml:space="preserve"> will receive payment monthly in arrears based on data submitt</w:t>
      </w:r>
      <w:r>
        <w:t xml:space="preserve">ed through the ILR and should apply </w:t>
      </w:r>
      <w:r w:rsidR="000A5211">
        <w:t>to all Apprenticeships (including 16 to 18) workpla</w:t>
      </w:r>
      <w:r>
        <w:t>ce, and classroom provision.</w:t>
      </w:r>
    </w:p>
    <w:p w14:paraId="56236BE8" w14:textId="77777777" w:rsidR="004B4204" w:rsidRDefault="000A5211">
      <w:r>
        <w:t xml:space="preserve">To access support funding </w:t>
      </w:r>
      <w:r w:rsidR="004B4204">
        <w:t xml:space="preserve">Oxford Energy Academy </w:t>
      </w:r>
      <w:r>
        <w:t>will receive funding as part of the profile payments for ASB p</w:t>
      </w:r>
      <w:r w:rsidR="004B4204">
        <w:t>rovision and must use the ILR to i</w:t>
      </w:r>
      <w:r>
        <w:t>dentify that a learner has Learning Support needs, which will generate earnings against the ASB for the duration that</w:t>
      </w:r>
      <w:r w:rsidR="004B4204" w:rsidRPr="004B4204">
        <w:t xml:space="preserve"> </w:t>
      </w:r>
      <w:r w:rsidR="004B4204">
        <w:t>Oxford Energy Academy provide Learning Support.</w:t>
      </w:r>
    </w:p>
    <w:p w14:paraId="27EF9480" w14:textId="77777777" w:rsidR="004B4204" w:rsidRDefault="004B4204">
      <w:r>
        <w:t xml:space="preserve">Oxford Energy Academy </w:t>
      </w:r>
      <w:r w:rsidR="000A5211">
        <w:t>can claim and receive payment for their 16 to 18 Apprenticeship Learning Su</w:t>
      </w:r>
      <w:r>
        <w:t xml:space="preserve">pport as ‘contract’ providers and </w:t>
      </w:r>
      <w:r w:rsidR="000A5211">
        <w:t>can claim for excess Learning Support costs through the Earning Adjustment System, supported by appropriate evidence for learners with support needs costing in ex</w:t>
      </w:r>
      <w:r>
        <w:t>cess of the monthly fixed rate</w:t>
      </w:r>
      <w:r w:rsidR="000A5211">
        <w:t xml:space="preserve"> </w:t>
      </w:r>
    </w:p>
    <w:p w14:paraId="2D20B796" w14:textId="77777777" w:rsidR="001F2F8D" w:rsidRDefault="004B4204">
      <w:pPr>
        <w:rPr>
          <w:color w:val="FF0000"/>
        </w:rPr>
      </w:pPr>
      <w:r>
        <w:t xml:space="preserve">But </w:t>
      </w:r>
      <w:r w:rsidR="000A5211">
        <w:t>must submit funding claims at mid-year, year-end and final-year to cover the excess/Exceptional Learning Support</w:t>
      </w:r>
      <w:r>
        <w:t xml:space="preserve"> </w:t>
      </w:r>
      <w:r w:rsidR="001F2F8D">
        <w:t>costs recorded through the ILR</w:t>
      </w:r>
      <w:r w:rsidR="001F2F8D" w:rsidRPr="001F2F8D">
        <w:rPr>
          <w:color w:val="000000" w:themeColor="text1"/>
        </w:rPr>
        <w:t>. N</w:t>
      </w:r>
      <w:r w:rsidR="000A5211" w:rsidRPr="001F2F8D">
        <w:rPr>
          <w:color w:val="000000" w:themeColor="text1"/>
        </w:rPr>
        <w:t xml:space="preserve">ote that </w:t>
      </w:r>
      <w:r w:rsidR="001F2F8D" w:rsidRPr="001F2F8D">
        <w:rPr>
          <w:color w:val="000000" w:themeColor="text1"/>
        </w:rPr>
        <w:t xml:space="preserve">funding agencies </w:t>
      </w:r>
      <w:r w:rsidR="000A5211" w:rsidRPr="001F2F8D">
        <w:rPr>
          <w:color w:val="000000" w:themeColor="text1"/>
        </w:rPr>
        <w:t>will use mid-year claims to review any in-year ch</w:t>
      </w:r>
      <w:r w:rsidR="001F2F8D">
        <w:rPr>
          <w:color w:val="000000" w:themeColor="text1"/>
        </w:rPr>
        <w:t>anges (increases and decreases)</w:t>
      </w:r>
    </w:p>
    <w:p w14:paraId="5B2FBB19" w14:textId="77777777" w:rsidR="001F2F8D" w:rsidRDefault="001F2F8D">
      <w:r>
        <w:t xml:space="preserve">Oxford Energy Academy </w:t>
      </w:r>
      <w:r w:rsidR="000A5211">
        <w:t>will have their ASB (including Learning Support) reviewed as part of the q</w:t>
      </w:r>
      <w:r>
        <w:t>uarterly performance management process. The</w:t>
      </w:r>
      <w:r w:rsidRPr="001F2F8D">
        <w:rPr>
          <w:color w:val="000000" w:themeColor="text1"/>
        </w:rPr>
        <w:t xml:space="preserve"> funding agencies</w:t>
      </w:r>
      <w:r>
        <w:rPr>
          <w:color w:val="000000" w:themeColor="text1"/>
        </w:rPr>
        <w:t xml:space="preserve"> </w:t>
      </w:r>
      <w:r w:rsidR="00154732">
        <w:rPr>
          <w:color w:val="000000" w:themeColor="text1"/>
        </w:rPr>
        <w:t>will</w:t>
      </w:r>
      <w:r w:rsidR="00154732">
        <w:t xml:space="preserve"> review</w:t>
      </w:r>
      <w:r w:rsidR="000A5211">
        <w:t xml:space="preserve"> </w:t>
      </w:r>
      <w:r>
        <w:t xml:space="preserve">Oxford Energy Academy </w:t>
      </w:r>
      <w:r w:rsidR="000A5211">
        <w:t>Learning Support funding as part of the ASB claim process.</w:t>
      </w:r>
    </w:p>
    <w:p w14:paraId="5129A478" w14:textId="77777777" w:rsidR="001F2F8D" w:rsidRDefault="000A5211">
      <w:r>
        <w:t xml:space="preserve"> For the first time Learning Support will be subject to year-end adjustment. Where </w:t>
      </w:r>
      <w:r w:rsidR="001F2F8D">
        <w:t xml:space="preserve">Oxford Energy Academy </w:t>
      </w:r>
      <w:r>
        <w:t>does not deliver the total value of their ASB</w:t>
      </w:r>
      <w:r w:rsidR="00154732">
        <w:t>,</w:t>
      </w:r>
      <w:r>
        <w:t xml:space="preserve"> </w:t>
      </w:r>
      <w:r w:rsidR="00154732">
        <w:t xml:space="preserve">Oxford Energy Academy </w:t>
      </w:r>
      <w:r>
        <w:t>will be subject to any associat</w:t>
      </w:r>
      <w:r w:rsidR="001F2F8D">
        <w:t>ed ‘claw back’ of funds.</w:t>
      </w:r>
    </w:p>
    <w:p w14:paraId="45976922" w14:textId="77777777" w:rsidR="001F2F8D" w:rsidRDefault="001F2F8D">
      <w:r>
        <w:t>Evidence requirements</w:t>
      </w:r>
    </w:p>
    <w:p w14:paraId="5CA91983" w14:textId="77777777" w:rsidR="00154732" w:rsidRDefault="00154732">
      <w:r>
        <w:t xml:space="preserve">Oxford Energy Academy </w:t>
      </w:r>
      <w:r w:rsidR="000A5211">
        <w:t xml:space="preserve">will adopt the contract provider approach across their ASB delivery. </w:t>
      </w:r>
      <w:r>
        <w:t>Oxford Energy Academy</w:t>
      </w:r>
      <w:r w:rsidR="000A5211">
        <w:t xml:space="preserve"> will look to see evidence that claims for Learning Support through the ILR are </w:t>
      </w:r>
      <w:r w:rsidR="000A5211">
        <w:lastRenderedPageBreak/>
        <w:t xml:space="preserve">supported by an assessment undertaken by </w:t>
      </w:r>
      <w:r>
        <w:t>Oxford Energy Academy</w:t>
      </w:r>
      <w:r w:rsidR="000A5211">
        <w:t xml:space="preserve">, that there is a planned programme of additional support, </w:t>
      </w:r>
      <w:r>
        <w:t xml:space="preserve">and that there is evidence of a </w:t>
      </w:r>
      <w:r w:rsidR="000A5211">
        <w:t>planned programme of additional support included in the learner’s learning agreement.</w:t>
      </w:r>
    </w:p>
    <w:p w14:paraId="5E44A076" w14:textId="77777777" w:rsidR="00154732" w:rsidRDefault="000A5211">
      <w:r>
        <w:t xml:space="preserve">Where </w:t>
      </w:r>
      <w:r w:rsidR="00154732">
        <w:t xml:space="preserve">Oxford Energy Academy </w:t>
      </w:r>
      <w:r>
        <w:t xml:space="preserve">claim excess Learning Support above the fixed monthly rate, </w:t>
      </w:r>
      <w:r w:rsidR="00154732">
        <w:t xml:space="preserve">the funding agencies </w:t>
      </w:r>
      <w:r>
        <w:t xml:space="preserve">will consider these against costs within the sector. </w:t>
      </w:r>
    </w:p>
    <w:p w14:paraId="09CCC1F6" w14:textId="77777777" w:rsidR="00154732" w:rsidRDefault="00154732">
      <w:r>
        <w:t>Oxford Energy Academy</w:t>
      </w:r>
      <w:r w:rsidR="000A5211">
        <w:t xml:space="preserve"> are required to record appropriate evidence to support the excess amounts </w:t>
      </w:r>
      <w:r>
        <w:t>Oxford Energy Academy</w:t>
      </w:r>
      <w:r w:rsidR="000A5211">
        <w:t xml:space="preserve"> claim</w:t>
      </w:r>
      <w:r>
        <w:t xml:space="preserve">, </w:t>
      </w:r>
      <w:r w:rsidR="000A5211">
        <w:t xml:space="preserve">the current evidence requirements will remain in place and will cover Apprenticeship, </w:t>
      </w:r>
      <w:proofErr w:type="gramStart"/>
      <w:r w:rsidR="000A5211">
        <w:t>other</w:t>
      </w:r>
      <w:proofErr w:type="gramEnd"/>
      <w:r w:rsidR="000A5211">
        <w:t xml:space="preserve"> workplace and classroom support. 16-to-18 Apprenticeships will also operate in the same</w:t>
      </w:r>
      <w:r>
        <w:t xml:space="preserve"> way as contract providers.</w:t>
      </w:r>
    </w:p>
    <w:p w14:paraId="0F39ADD9" w14:textId="77777777" w:rsidR="00154732" w:rsidRDefault="000A5211">
      <w:r>
        <w:t xml:space="preserve">When the duration of learning is less than one month, or the learner is not in learning on the last day of the month, </w:t>
      </w:r>
      <w:r w:rsidR="00154732">
        <w:t>Oxford Energy Academy</w:t>
      </w:r>
      <w:r>
        <w:t xml:space="preserve"> must claim this as excess Learning Support through the EAS. These evidence requirements are th</w:t>
      </w:r>
      <w:r w:rsidR="00154732">
        <w:t>e</w:t>
      </w:r>
      <w:r>
        <w:t xml:space="preserve"> same as any other excess Learning Sup</w:t>
      </w:r>
      <w:r w:rsidR="00154732">
        <w:t>port claime</w:t>
      </w:r>
      <w:r w:rsidR="002F6B7B">
        <w:t>d through the EAS.</w:t>
      </w:r>
    </w:p>
    <w:p w14:paraId="32CF0924" w14:textId="77777777" w:rsidR="00154732" w:rsidRDefault="00154732">
      <w:r>
        <w:t>The Funding agencies</w:t>
      </w:r>
      <w:r w:rsidR="000A5211">
        <w:t xml:space="preserve"> reserve the right to review providers that record a large increa</w:t>
      </w:r>
      <w:r>
        <w:t xml:space="preserve">se in Learning Support use, as they </w:t>
      </w:r>
      <w:r w:rsidR="000A5211">
        <w:t>would not expect significantly increases for Learning Support funding use as part of the ASB.</w:t>
      </w:r>
    </w:p>
    <w:p w14:paraId="4B9E8378" w14:textId="77777777" w:rsidR="00154732" w:rsidRDefault="00154732">
      <w:r>
        <w:t xml:space="preserve"> Exceptional Learning Support.</w:t>
      </w:r>
    </w:p>
    <w:p w14:paraId="1B2660D2" w14:textId="77777777" w:rsidR="002F6B7B" w:rsidRDefault="000A5211">
      <w:pPr>
        <w:contextualSpacing/>
      </w:pPr>
      <w:r>
        <w:t xml:space="preserve"> Learners that may require support costs more than £19,000 are individuals</w:t>
      </w:r>
      <w:r w:rsidR="002F6B7B">
        <w:t xml:space="preserve"> with significant support needs.</w:t>
      </w:r>
    </w:p>
    <w:p w14:paraId="2A5D240B" w14:textId="77777777" w:rsidR="002F6B7B" w:rsidRDefault="000A5211">
      <w:pPr>
        <w:contextualSpacing/>
      </w:pPr>
      <w:r>
        <w:t xml:space="preserve"> There will be other agencies involved in their care and support. </w:t>
      </w:r>
    </w:p>
    <w:p w14:paraId="523C85F9" w14:textId="77777777" w:rsidR="002F6B7B" w:rsidRDefault="002F6B7B">
      <w:pPr>
        <w:contextualSpacing/>
      </w:pPr>
    </w:p>
    <w:p w14:paraId="76EC8256" w14:textId="77777777" w:rsidR="002F6B7B" w:rsidRDefault="002F6B7B">
      <w:r>
        <w:t>Exceptional Learning Support was</w:t>
      </w:r>
      <w:r w:rsidR="000A5211">
        <w:t xml:space="preserve"> previously only available for learners aged 25 and over, studying at </w:t>
      </w:r>
      <w:r>
        <w:t>Oxford Energy Academy.</w:t>
      </w:r>
    </w:p>
    <w:p w14:paraId="6A51181F" w14:textId="77777777" w:rsidR="002F6B7B" w:rsidRDefault="002F6B7B">
      <w:r>
        <w:t>The Skills Funding Agencies will retain t</w:t>
      </w:r>
      <w:r w:rsidR="000A5211">
        <w:t>he current grant-funded provider approach to Exceptional Learning Support for learners requ</w:t>
      </w:r>
      <w:r>
        <w:t>iring</w:t>
      </w:r>
      <w:r w:rsidR="000A5211">
        <w:t xml:space="preserve"> this funding. </w:t>
      </w:r>
      <w:r>
        <w:t xml:space="preserve">The Skills Funding Agencies </w:t>
      </w:r>
      <w:r w:rsidR="000A5211">
        <w:t>hold a central budget for this funding, which requires approva</w:t>
      </w:r>
      <w:r>
        <w:t xml:space="preserve">l on an individual learner basis. </w:t>
      </w:r>
    </w:p>
    <w:p w14:paraId="44175945" w14:textId="77777777" w:rsidR="00C13DEB" w:rsidRDefault="000A5211">
      <w:r>
        <w:t>T</w:t>
      </w:r>
      <w:r w:rsidR="002678BA">
        <w:t xml:space="preserve">he latest </w:t>
      </w:r>
      <w:r>
        <w:t>changes</w:t>
      </w:r>
      <w:r w:rsidR="00C13DEB">
        <w:t>, which include:</w:t>
      </w:r>
    </w:p>
    <w:p w14:paraId="4EC87725" w14:textId="77777777" w:rsidR="00C13DEB" w:rsidRDefault="00C13DEB">
      <w:pPr>
        <w:contextualSpacing/>
      </w:pPr>
      <w:r>
        <w:t>C</w:t>
      </w:r>
      <w:r w:rsidR="000A5211">
        <w:t>ontract providers, who now follow the s</w:t>
      </w:r>
      <w:r>
        <w:t xml:space="preserve">ame process as grant providers </w:t>
      </w:r>
    </w:p>
    <w:p w14:paraId="7B8FA06D" w14:textId="77777777" w:rsidR="00C13DEB" w:rsidRPr="00C13DEB" w:rsidRDefault="00C13DEB" w:rsidP="00C13DEB">
      <w:pPr>
        <w:shd w:val="clear" w:color="auto" w:fill="FFFFFF"/>
        <w:spacing w:after="0" w:line="279" w:lineRule="atLeast"/>
        <w:contextualSpacing/>
        <w:rPr>
          <w:rFonts w:ascii="Verdana" w:eastAsia="Times New Roman" w:hAnsi="Verdana" w:cs="Times New Roman"/>
          <w:color w:val="333333"/>
          <w:sz w:val="20"/>
          <w:szCs w:val="20"/>
          <w:lang w:eastAsia="en-GB"/>
        </w:rPr>
      </w:pPr>
      <w:r>
        <w:t xml:space="preserve"> S</w:t>
      </w:r>
      <w:r w:rsidR="000A5211">
        <w:t xml:space="preserve">elf-declared learners with </w:t>
      </w:r>
      <w:r w:rsidR="000A5211" w:rsidRPr="00C13DEB">
        <w:rPr>
          <w:color w:val="000000" w:themeColor="text1"/>
        </w:rPr>
        <w:t>LDD</w:t>
      </w:r>
      <w:r w:rsidRPr="00C13DEB">
        <w:rPr>
          <w:color w:val="000000" w:themeColor="text1"/>
        </w:rPr>
        <w:t xml:space="preserve"> (</w:t>
      </w:r>
      <w:r w:rsidRPr="00C13DEB">
        <w:rPr>
          <w:rFonts w:eastAsia="Times New Roman" w:cs="Times New Roman"/>
          <w:color w:val="000000" w:themeColor="text1"/>
          <w:sz w:val="20"/>
          <w:szCs w:val="20"/>
          <w:lang w:eastAsia="en-GB"/>
        </w:rPr>
        <w:t>Learning Difficulties and Disabilities</w:t>
      </w:r>
      <w:proofErr w:type="gramStart"/>
      <w:r w:rsidRPr="00C13DEB">
        <w:rPr>
          <w:rFonts w:eastAsia="Times New Roman" w:cs="Times New Roman"/>
          <w:color w:val="000000" w:themeColor="text1"/>
          <w:sz w:val="20"/>
          <w:szCs w:val="20"/>
          <w:lang w:eastAsia="en-GB"/>
        </w:rPr>
        <w:t>),</w:t>
      </w:r>
      <w:r w:rsidR="000A5211">
        <w:t>aged</w:t>
      </w:r>
      <w:proofErr w:type="gramEnd"/>
      <w:r w:rsidR="000A5211">
        <w:t xml:space="preserve"> 19 to 24 not subject to a Learning Difficulty Assessment (LDA) or Educati</w:t>
      </w:r>
      <w:r>
        <w:t>on, Health and Care (EHC) plan</w:t>
      </w:r>
    </w:p>
    <w:p w14:paraId="500A7B92" w14:textId="77777777" w:rsidR="00C13DEB" w:rsidRDefault="002678BA">
      <w:pPr>
        <w:contextualSpacing/>
      </w:pPr>
      <w:r>
        <w:t>A</w:t>
      </w:r>
      <w:r w:rsidR="00C13DEB">
        <w:t>pprentices of all ages</w:t>
      </w:r>
    </w:p>
    <w:p w14:paraId="3D336130" w14:textId="77777777" w:rsidR="00C13DEB" w:rsidRDefault="00C13DEB">
      <w:pPr>
        <w:contextualSpacing/>
      </w:pPr>
      <w:r>
        <w:t xml:space="preserve">Loans Bursary, </w:t>
      </w:r>
      <w:proofErr w:type="gramStart"/>
      <w:r w:rsidR="000A5211">
        <w:t>Previously</w:t>
      </w:r>
      <w:proofErr w:type="gramEnd"/>
      <w:r w:rsidR="000A5211">
        <w:t xml:space="preserve"> known as Exceptional Additional Learning Support.</w:t>
      </w:r>
    </w:p>
    <w:p w14:paraId="77243D69" w14:textId="77777777" w:rsidR="00C13DEB" w:rsidRDefault="00C13DEB">
      <w:pPr>
        <w:contextualSpacing/>
      </w:pPr>
      <w:r>
        <w:t xml:space="preserve">The Skills Funding Agencies </w:t>
      </w:r>
      <w:r w:rsidR="000A5211">
        <w:t>would expect learners aged 19 to 24 years of age to have an LDA or E</w:t>
      </w:r>
      <w:r>
        <w:t xml:space="preserve">HC plan provided by their local </w:t>
      </w:r>
      <w:r w:rsidR="000A5211">
        <w:t>authority, unless they are u</w:t>
      </w:r>
      <w:r>
        <w:t>ndertaking an Apprenticeship.</w:t>
      </w:r>
    </w:p>
    <w:p w14:paraId="4454D038" w14:textId="77777777" w:rsidR="00C13DEB" w:rsidRPr="00C13DEB" w:rsidRDefault="000A5211" w:rsidP="002678BA">
      <w:pPr>
        <w:contextualSpacing/>
        <w:rPr>
          <w:rFonts w:ascii="Verdana" w:eastAsia="Times New Roman" w:hAnsi="Verdana" w:cs="Times New Roman"/>
          <w:color w:val="333333"/>
          <w:sz w:val="20"/>
          <w:szCs w:val="20"/>
          <w:lang w:eastAsia="en-GB"/>
        </w:rPr>
      </w:pPr>
      <w:r>
        <w:t>The Loans Bursary Fund helps loans funded learners such as those with learning difficulties or disabilities, parents who need help with childcare, and ex-milita</w:t>
      </w:r>
      <w:r w:rsidR="002678BA">
        <w:t>ry personnel.</w:t>
      </w:r>
    </w:p>
    <w:p w14:paraId="04C4BD8D" w14:textId="77777777" w:rsidR="00C13DEB" w:rsidRDefault="00C13DEB"/>
    <w:p w14:paraId="0AA88F76" w14:textId="77777777" w:rsidR="002678BA" w:rsidRDefault="002678BA" w:rsidP="002678BA">
      <w:pPr>
        <w:jc w:val="center"/>
      </w:pPr>
      <w:r>
        <w:t>Oxford Energy Academy Ltd</w:t>
      </w:r>
    </w:p>
    <w:sectPr w:rsidR="002678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CFCE" w14:textId="77777777" w:rsidR="0066788B" w:rsidRDefault="0066788B" w:rsidP="0066788B">
      <w:pPr>
        <w:spacing w:after="0" w:line="240" w:lineRule="auto"/>
      </w:pPr>
      <w:r>
        <w:separator/>
      </w:r>
    </w:p>
  </w:endnote>
  <w:endnote w:type="continuationSeparator" w:id="0">
    <w:p w14:paraId="66030CF7" w14:textId="77777777" w:rsidR="0066788B" w:rsidRDefault="0066788B" w:rsidP="0066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FD68" w14:textId="061765FD" w:rsidR="0066788B" w:rsidRDefault="0066788B" w:rsidP="0066788B">
    <w:pPr>
      <w:pStyle w:val="Footer"/>
    </w:pPr>
    <w:r>
      <w:t>Quality Assurance</w:t>
    </w:r>
    <w:r>
      <w:tab/>
      <w:t xml:space="preserve">                                                                                                            V</w:t>
    </w:r>
    <w:r w:rsidR="00E54E53">
      <w:t>4</w:t>
    </w:r>
    <w:r>
      <w:t xml:space="preserve"> Updated </w:t>
    </w:r>
    <w:r w:rsidR="00E54E53">
      <w:t>Jan 2018</w:t>
    </w:r>
  </w:p>
  <w:p w14:paraId="1D4066D2" w14:textId="77777777" w:rsidR="0066788B" w:rsidRDefault="00667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C84D" w14:textId="77777777" w:rsidR="0066788B" w:rsidRDefault="0066788B" w:rsidP="0066788B">
      <w:pPr>
        <w:spacing w:after="0" w:line="240" w:lineRule="auto"/>
      </w:pPr>
      <w:r>
        <w:separator/>
      </w:r>
    </w:p>
  </w:footnote>
  <w:footnote w:type="continuationSeparator" w:id="0">
    <w:p w14:paraId="3D8D6C33" w14:textId="77777777" w:rsidR="0066788B" w:rsidRDefault="0066788B" w:rsidP="00667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211"/>
    <w:rsid w:val="000A5211"/>
    <w:rsid w:val="00154732"/>
    <w:rsid w:val="001F2F8D"/>
    <w:rsid w:val="002678BA"/>
    <w:rsid w:val="002F6B7B"/>
    <w:rsid w:val="00341AF6"/>
    <w:rsid w:val="004B4204"/>
    <w:rsid w:val="00641B0A"/>
    <w:rsid w:val="0066788B"/>
    <w:rsid w:val="006D643E"/>
    <w:rsid w:val="00914671"/>
    <w:rsid w:val="00C13DEB"/>
    <w:rsid w:val="00D36815"/>
    <w:rsid w:val="00E54E53"/>
    <w:rsid w:val="00F7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9993"/>
  <w15:docId w15:val="{BABBEB54-33B5-4FCC-BBFC-91ED9643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11"/>
    <w:rPr>
      <w:rFonts w:ascii="Tahoma" w:hAnsi="Tahoma" w:cs="Tahoma"/>
      <w:sz w:val="16"/>
      <w:szCs w:val="16"/>
    </w:rPr>
  </w:style>
  <w:style w:type="character" w:customStyle="1" w:styleId="apple-converted-space">
    <w:name w:val="apple-converted-space"/>
    <w:basedOn w:val="DefaultParagraphFont"/>
    <w:rsid w:val="000A5211"/>
  </w:style>
  <w:style w:type="character" w:styleId="Emphasis">
    <w:name w:val="Emphasis"/>
    <w:basedOn w:val="DefaultParagraphFont"/>
    <w:uiPriority w:val="20"/>
    <w:qFormat/>
    <w:rsid w:val="000A5211"/>
    <w:rPr>
      <w:i/>
      <w:iCs/>
    </w:rPr>
  </w:style>
  <w:style w:type="paragraph" w:styleId="Header">
    <w:name w:val="header"/>
    <w:basedOn w:val="Normal"/>
    <w:link w:val="HeaderChar"/>
    <w:uiPriority w:val="99"/>
    <w:unhideWhenUsed/>
    <w:rsid w:val="00667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88B"/>
  </w:style>
  <w:style w:type="paragraph" w:styleId="Footer">
    <w:name w:val="footer"/>
    <w:basedOn w:val="Normal"/>
    <w:link w:val="FooterChar"/>
    <w:uiPriority w:val="99"/>
    <w:unhideWhenUsed/>
    <w:rsid w:val="00667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39191">
      <w:bodyDiv w:val="1"/>
      <w:marLeft w:val="0"/>
      <w:marRight w:val="0"/>
      <w:marTop w:val="0"/>
      <w:marBottom w:val="0"/>
      <w:divBdr>
        <w:top w:val="none" w:sz="0" w:space="0" w:color="auto"/>
        <w:left w:val="none" w:sz="0" w:space="0" w:color="auto"/>
        <w:bottom w:val="none" w:sz="0" w:space="0" w:color="auto"/>
        <w:right w:val="none" w:sz="0" w:space="0" w:color="auto"/>
      </w:divBdr>
    </w:div>
    <w:div w:id="1958949049">
      <w:bodyDiv w:val="1"/>
      <w:marLeft w:val="0"/>
      <w:marRight w:val="0"/>
      <w:marTop w:val="0"/>
      <w:marBottom w:val="0"/>
      <w:divBdr>
        <w:top w:val="none" w:sz="0" w:space="0" w:color="auto"/>
        <w:left w:val="none" w:sz="0" w:space="0" w:color="auto"/>
        <w:bottom w:val="none" w:sz="0" w:space="0" w:color="auto"/>
        <w:right w:val="none" w:sz="0" w:space="0" w:color="auto"/>
      </w:divBdr>
      <w:divsChild>
        <w:div w:id="1253583352">
          <w:marLeft w:val="0"/>
          <w:marRight w:val="0"/>
          <w:marTop w:val="0"/>
          <w:marBottom w:val="0"/>
          <w:divBdr>
            <w:top w:val="none" w:sz="0" w:space="0" w:color="auto"/>
            <w:left w:val="none" w:sz="0" w:space="0" w:color="auto"/>
            <w:bottom w:val="none" w:sz="0" w:space="0" w:color="auto"/>
            <w:right w:val="none" w:sz="0" w:space="0" w:color="auto"/>
          </w:divBdr>
        </w:div>
        <w:div w:id="474644032">
          <w:marLeft w:val="150"/>
          <w:marRight w:val="0"/>
          <w:marTop w:val="0"/>
          <w:marBottom w:val="0"/>
          <w:divBdr>
            <w:top w:val="none" w:sz="0" w:space="0" w:color="auto"/>
            <w:left w:val="none" w:sz="0" w:space="0" w:color="auto"/>
            <w:bottom w:val="none" w:sz="0" w:space="0" w:color="auto"/>
            <w:right w:val="none" w:sz="0" w:space="0" w:color="auto"/>
          </w:divBdr>
        </w:div>
        <w:div w:id="2027443897">
          <w:marLeft w:val="0"/>
          <w:marRight w:val="0"/>
          <w:marTop w:val="0"/>
          <w:marBottom w:val="0"/>
          <w:divBdr>
            <w:top w:val="none" w:sz="0" w:space="0" w:color="auto"/>
            <w:left w:val="none" w:sz="0" w:space="0" w:color="auto"/>
            <w:bottom w:val="none" w:sz="0" w:space="0" w:color="auto"/>
            <w:right w:val="none" w:sz="0" w:space="0" w:color="auto"/>
          </w:divBdr>
        </w:div>
        <w:div w:id="36182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Brooks</cp:lastModifiedBy>
  <cp:revision>4</cp:revision>
  <dcterms:created xsi:type="dcterms:W3CDTF">2016-01-22T13:37:00Z</dcterms:created>
  <dcterms:modified xsi:type="dcterms:W3CDTF">2018-01-30T14:34:00Z</dcterms:modified>
</cp:coreProperties>
</file>